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TACR/12-</w:t>
      </w:r>
      <w:r w:rsidR="00494F23">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rsidP="004F3138">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sidR="004F3138">
        <w:rPr>
          <w:rFonts w:ascii="Open Sans" w:eastAsia="Open Sans" w:hAnsi="Open Sans" w:cs="Open Sans"/>
          <w:b/>
        </w:rPr>
        <w:t>: 1. veřejná soutěž programu DOPRAVA 2030</w:t>
      </w:r>
    </w:p>
    <w:p w:rsidR="006F6AEE" w:rsidRDefault="002D78EB">
      <w:pPr>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4" w:name="bookmark=id.tyjcwt" w:colFirst="0" w:colLast="0"/>
      <w:bookmarkEnd w:id="4"/>
      <w:permStart w:id="682886371"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5" w:name="_heading=h.3znysh7" w:colFirst="0" w:colLast="0"/>
      <w:bookmarkEnd w:id="5"/>
      <w:permEnd w:id="682886371"/>
      <w:r>
        <w:rPr>
          <w:rFonts w:ascii="Open Sans" w:eastAsia="Open Sans" w:hAnsi="Open Sans" w:cs="Open Sans"/>
          <w:sz w:val="20"/>
          <w:szCs w:val="20"/>
        </w:rPr>
        <w:t xml:space="preserve">IČO: </w:t>
      </w:r>
      <w:bookmarkStart w:id="6" w:name="bookmark=id.3dy6vkm" w:colFirst="0" w:colLast="0"/>
      <w:bookmarkEnd w:id="6"/>
      <w:permStart w:id="1005078820" w:edGrp="everyone"/>
      <w:r>
        <w:rPr>
          <w:rFonts w:ascii="Open Sans" w:eastAsia="Open Sans" w:hAnsi="Open Sans" w:cs="Open Sans"/>
          <w:sz w:val="20"/>
          <w:szCs w:val="20"/>
        </w:rPr>
        <w:t>     </w:t>
      </w:r>
    </w:p>
    <w:permEnd w:id="1005078820"/>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7" w:name="_heading=h.1fob9te" w:colFirst="0" w:colLast="0"/>
      <w:bookmarkEnd w:id="7"/>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8" w:name="_heading=h.1t3h5sf" w:colFirst="0" w:colLast="0"/>
      <w:bookmarkEnd w:id="8"/>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Pr>
          <w:rFonts w:ascii="Open Sans" w:eastAsia="Open Sans" w:hAnsi="Open Sans" w:cs="Open Sans"/>
          <w:color w:val="000000"/>
          <w:sz w:val="20"/>
          <w:szCs w:val="20"/>
        </w:rPr>
        <w:b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w:t>
      </w:r>
      <w:r>
        <w:rPr>
          <w:rFonts w:ascii="Open Sans" w:eastAsia="Open Sans" w:hAnsi="Open Sans" w:cs="Open Sans"/>
          <w:color w:val="000000"/>
          <w:sz w:val="20"/>
          <w:szCs w:val="20"/>
          <w:highlight w:val="white"/>
        </w:rPr>
        <w:lastRenderedPageBreak/>
        <w:t>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TACR/12-</w:t>
      </w:r>
      <w:r w:rsidR="00030E38">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sz w:val="20"/>
          <w:szCs w:val="20"/>
        </w:rPr>
      </w:pPr>
      <w:r>
        <w:rPr>
          <w:rFonts w:ascii="Open Sans" w:eastAsia="Open Sans" w:hAnsi="Open Sans" w:cs="Open Sans"/>
          <w:b/>
        </w:rPr>
        <w:t xml:space="preserve">Call </w:t>
      </w:r>
      <w:proofErr w:type="spellStart"/>
      <w:r>
        <w:rPr>
          <w:rFonts w:ascii="Open Sans" w:eastAsia="Open Sans" w:hAnsi="Open Sans" w:cs="Open Sans"/>
          <w:b/>
        </w:rPr>
        <w:t>for</w:t>
      </w:r>
      <w:proofErr w:type="spellEnd"/>
      <w:r>
        <w:rPr>
          <w:rFonts w:ascii="Open Sans" w:eastAsia="Open Sans" w:hAnsi="Open Sans" w:cs="Open Sans"/>
          <w:b/>
        </w:rPr>
        <w:t xml:space="preserve"> </w:t>
      </w:r>
      <w:proofErr w:type="spellStart"/>
      <w:r>
        <w:rPr>
          <w:rFonts w:ascii="Open Sans" w:eastAsia="Open Sans" w:hAnsi="Open Sans" w:cs="Open Sans"/>
          <w:b/>
        </w:rPr>
        <w:t>proposals</w:t>
      </w:r>
      <w:proofErr w:type="spellEnd"/>
      <w:r w:rsidR="004F3138">
        <w:rPr>
          <w:rFonts w:ascii="Open Sans" w:eastAsia="Open Sans" w:hAnsi="Open Sans" w:cs="Open Sans"/>
          <w:b/>
        </w:rPr>
        <w:t xml:space="preserve">: </w:t>
      </w:r>
      <w:r w:rsidR="004F3138">
        <w:rPr>
          <w:rFonts w:ascii="Open Sans" w:eastAsia="Open Sans" w:hAnsi="Open Sans" w:cs="Open Sans"/>
          <w:b/>
        </w:rPr>
        <w:t>1</w:t>
      </w:r>
      <w:r w:rsidR="004F3138" w:rsidRPr="00DA6466">
        <w:rPr>
          <w:rFonts w:ascii="Open Sans" w:eastAsia="Open Sans" w:hAnsi="Open Sans" w:cs="Open Sans"/>
          <w:b/>
          <w:vertAlign w:val="superscript"/>
        </w:rPr>
        <w:t>st</w:t>
      </w:r>
      <w:r w:rsidR="004F3138">
        <w:rPr>
          <w:rFonts w:ascii="Open Sans" w:eastAsia="Open Sans" w:hAnsi="Open Sans" w:cs="Open Sans"/>
          <w:b/>
        </w:rPr>
        <w:t xml:space="preserve"> </w:t>
      </w:r>
      <w:r w:rsidR="004F3138" w:rsidRPr="00DA6466">
        <w:rPr>
          <w:rFonts w:ascii="Open Sans" w:eastAsia="Open Sans" w:hAnsi="Open Sans" w:cs="Open Sans"/>
          <w:b/>
        </w:rPr>
        <w:t xml:space="preserve">Call </w:t>
      </w:r>
      <w:proofErr w:type="spellStart"/>
      <w:r w:rsidR="004F3138" w:rsidRPr="00DA6466">
        <w:rPr>
          <w:rFonts w:ascii="Open Sans" w:eastAsia="Open Sans" w:hAnsi="Open Sans" w:cs="Open Sans"/>
          <w:b/>
        </w:rPr>
        <w:t>for</w:t>
      </w:r>
      <w:proofErr w:type="spellEnd"/>
      <w:r w:rsidR="004F3138" w:rsidRPr="00DA6466">
        <w:rPr>
          <w:rFonts w:ascii="Open Sans" w:eastAsia="Open Sans" w:hAnsi="Open Sans" w:cs="Open Sans"/>
          <w:b/>
        </w:rPr>
        <w:t xml:space="preserve"> </w:t>
      </w:r>
      <w:proofErr w:type="spellStart"/>
      <w:r w:rsidR="004F3138" w:rsidRPr="00DA6466">
        <w:rPr>
          <w:rFonts w:ascii="Open Sans" w:eastAsia="Open Sans" w:hAnsi="Open Sans" w:cs="Open Sans"/>
          <w:b/>
        </w:rPr>
        <w:t>Proposals</w:t>
      </w:r>
      <w:proofErr w:type="spellEnd"/>
      <w:r w:rsidR="004F3138" w:rsidRPr="00DA6466">
        <w:rPr>
          <w:rFonts w:ascii="Open Sans" w:eastAsia="Open Sans" w:hAnsi="Open Sans" w:cs="Open Sans"/>
          <w:b/>
        </w:rPr>
        <w:t xml:space="preserve"> </w:t>
      </w:r>
      <w:proofErr w:type="spellStart"/>
      <w:r w:rsidR="004F3138">
        <w:rPr>
          <w:rFonts w:ascii="Open Sans" w:eastAsia="Open Sans" w:hAnsi="Open Sans" w:cs="Open Sans"/>
          <w:b/>
        </w:rPr>
        <w:t>p</w:t>
      </w:r>
      <w:r w:rsidR="004F3138" w:rsidRPr="00DA6466">
        <w:rPr>
          <w:rFonts w:ascii="Open Sans" w:eastAsia="Open Sans" w:hAnsi="Open Sans" w:cs="Open Sans"/>
          <w:b/>
        </w:rPr>
        <w:t>rogramm</w:t>
      </w:r>
      <w:r w:rsidR="004F3138">
        <w:rPr>
          <w:rFonts w:ascii="Open Sans" w:eastAsia="Open Sans" w:hAnsi="Open Sans" w:cs="Open Sans"/>
          <w:b/>
        </w:rPr>
        <w:t>e</w:t>
      </w:r>
      <w:proofErr w:type="spellEnd"/>
      <w:r w:rsidR="004F3138">
        <w:rPr>
          <w:rFonts w:ascii="Open Sans" w:eastAsia="Open Sans" w:hAnsi="Open Sans" w:cs="Open Sans"/>
          <w:b/>
        </w:rPr>
        <w:t xml:space="preserve"> DOPRAVA 2030</w:t>
      </w: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9" w:name="bookmark=id.2s8eyo1" w:colFirst="0" w:colLast="0"/>
      <w:bookmarkEnd w:id="9"/>
      <w:permStart w:id="1992124899" w:edGrp="everyone"/>
      <w:r w:rsidR="002D78EB">
        <w:rPr>
          <w:rFonts w:ascii="Open Sans" w:eastAsia="Open Sans" w:hAnsi="Open Sans" w:cs="Open Sans"/>
          <w:sz w:val="20"/>
          <w:szCs w:val="20"/>
        </w:rPr>
        <w:t>      </w:t>
      </w:r>
    </w:p>
    <w:permEnd w:id="1992124899"/>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0" w:name="bookmark=id.17dp8vu" w:colFirst="0" w:colLast="0"/>
      <w:bookmarkEnd w:id="10"/>
      <w:permStart w:id="2076340965" w:edGrp="everyone"/>
      <w:r>
        <w:rPr>
          <w:rFonts w:ascii="Open Sans" w:eastAsia="Open Sans" w:hAnsi="Open Sans" w:cs="Open Sans"/>
          <w:sz w:val="20"/>
          <w:szCs w:val="20"/>
        </w:rPr>
        <w:t>        </w:t>
      </w:r>
      <w:bookmarkStart w:id="11" w:name="_GoBack"/>
      <w:bookmarkEnd w:id="11"/>
    </w:p>
    <w:permEnd w:id="2076340965"/>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if natural person, has not been convicted of a criminal offense, the matter </w:t>
      </w:r>
      <w:r>
        <w:rPr>
          <w:rFonts w:ascii="Open Sans" w:eastAsia="Open Sans" w:hAnsi="Open Sans" w:cs="Open Sans"/>
          <w:color w:val="000000"/>
          <w:sz w:val="20"/>
          <w:szCs w:val="20"/>
        </w:rPr>
        <w:br/>
      </w:r>
      <w:r>
        <w:rPr>
          <w:rFonts w:ascii="Open Sans" w:eastAsia="Open Sans" w:hAnsi="Open Sans" w:cs="Open Sans"/>
          <w:color w:val="000000"/>
          <w:sz w:val="20"/>
          <w:szCs w:val="20"/>
        </w:rPr>
        <w:lastRenderedPageBreak/>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88F" w:rsidRDefault="00FD088F">
      <w:pPr>
        <w:spacing w:after="0" w:line="240" w:lineRule="auto"/>
      </w:pPr>
      <w:r>
        <w:separator/>
      </w:r>
    </w:p>
  </w:endnote>
  <w:endnote w:type="continuationSeparator" w:id="0">
    <w:p w:rsidR="00FD088F" w:rsidRDefault="00FD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88F" w:rsidRDefault="00FD088F">
      <w:pPr>
        <w:spacing w:after="0" w:line="240" w:lineRule="auto"/>
      </w:pPr>
      <w:r>
        <w:separator/>
      </w:r>
    </w:p>
  </w:footnote>
  <w:footnote w:type="continuationSeparator" w:id="0">
    <w:p w:rsidR="00FD088F" w:rsidRDefault="00FD088F">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x1vrfrca9qshJFKDLTucgBidmElWkVgZ9CSH0xwpkqq9mWrzWKsNueu7YKLHMQXbklZvzJXlYdVCOLY8alzcQ==" w:salt="dElWwcSh8bCLXIJ1VmAVn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970E1"/>
    <w:rsid w:val="002D78EB"/>
    <w:rsid w:val="00367B40"/>
    <w:rsid w:val="004023DD"/>
    <w:rsid w:val="00494F23"/>
    <w:rsid w:val="004F3138"/>
    <w:rsid w:val="005867C2"/>
    <w:rsid w:val="006F6AEE"/>
    <w:rsid w:val="0076709D"/>
    <w:rsid w:val="008A68A9"/>
    <w:rsid w:val="00915257"/>
    <w:rsid w:val="00DC4847"/>
    <w:rsid w:val="00EA3EF7"/>
    <w:rsid w:val="00F60BA4"/>
    <w:rsid w:val="00FD0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F60A"/>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6673</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Zuzana Zámková</cp:lastModifiedBy>
  <cp:revision>2</cp:revision>
  <dcterms:created xsi:type="dcterms:W3CDTF">2023-04-20T13:50:00Z</dcterms:created>
  <dcterms:modified xsi:type="dcterms:W3CDTF">2023-04-20T13:50:00Z</dcterms:modified>
</cp:coreProperties>
</file>